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172B4" w:rsidRPr="003348A8" w:rsidRDefault="002172B4" w:rsidP="002172B4">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0212F4" w:rsidRPr="00683E65">
        <w:rPr>
          <w:b/>
          <w:sz w:val="28"/>
          <w:szCs w:val="28"/>
        </w:rPr>
        <w:t>Diagnostic Interface Engineering</w:t>
      </w:r>
    </w:p>
    <w:p w:rsidR="002172B4" w:rsidRDefault="002172B4" w:rsidP="002172B4">
      <w:pPr>
        <w:suppressAutoHyphens/>
        <w:ind w:left="270" w:right="-427" w:hanging="270"/>
        <w:rPr>
          <w:b/>
          <w:sz w:val="28"/>
          <w:szCs w:val="28"/>
        </w:rPr>
      </w:pPr>
      <w:r>
        <w:rPr>
          <w:b/>
          <w:sz w:val="28"/>
          <w:szCs w:val="28"/>
        </w:rPr>
        <w:t xml:space="preserve"> </w:t>
      </w:r>
    </w:p>
    <w:p w:rsidR="002172B4" w:rsidRPr="00F160C2" w:rsidRDefault="002172B4" w:rsidP="002172B4">
      <w:pPr>
        <w:suppressAutoHyphens/>
        <w:ind w:right="-427"/>
        <w:rPr>
          <w:b/>
          <w:sz w:val="28"/>
          <w:szCs w:val="28"/>
        </w:rPr>
      </w:pPr>
      <w:r w:rsidRPr="00E710A5">
        <w:rPr>
          <w:b/>
          <w:sz w:val="28"/>
          <w:szCs w:val="28"/>
        </w:rPr>
        <w:t>Reference:</w:t>
      </w:r>
      <w:r w:rsidRPr="00E710A5">
        <w:rPr>
          <w:b/>
          <w:sz w:val="28"/>
          <w:szCs w:val="28"/>
        </w:rPr>
        <w:tab/>
        <w:t xml:space="preserve"> </w:t>
      </w:r>
      <w:r w:rsidR="00024F95" w:rsidRPr="00024F95">
        <w:rPr>
          <w:b/>
          <w:sz w:val="28"/>
          <w:szCs w:val="28"/>
        </w:rPr>
        <w:t>IO/22/C</w:t>
      </w:r>
      <w:bookmarkStart w:id="7" w:name="_GoBack"/>
      <w:bookmarkEnd w:id="7"/>
      <w:r w:rsidR="00024F95" w:rsidRPr="00024F95">
        <w:rPr>
          <w:b/>
          <w:sz w:val="28"/>
          <w:szCs w:val="28"/>
        </w:rPr>
        <w:t>FE/10023847/MKI</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11"/>
      <w:footerReference w:type="default" r:id="rId12"/>
      <w:footerReference w:type="first" r:id="rId13"/>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4F3" w:rsidRDefault="005C24F3">
      <w:r>
        <w:separator/>
      </w:r>
    </w:p>
  </w:endnote>
  <w:endnote w:type="continuationSeparator" w:id="0">
    <w:p w:rsidR="005C24F3" w:rsidRDefault="005C2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024F95">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024F95">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024F9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024F95">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4F3" w:rsidRDefault="005C24F3">
      <w:r>
        <w:separator/>
      </w:r>
    </w:p>
  </w:footnote>
  <w:footnote w:type="continuationSeparator" w:id="0">
    <w:p w:rsidR="005C24F3" w:rsidRDefault="005C2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024F95" w:rsidP="00024F95">
    <w:pPr>
      <w:keepNext/>
      <w:ind w:right="12"/>
      <w:jc w:val="right"/>
      <w:rPr>
        <w:b/>
        <w:sz w:val="44"/>
        <w:szCs w:val="44"/>
      </w:rPr>
    </w:pPr>
    <w:r w:rsidRPr="00024F95">
      <w:rPr>
        <w:sz w:val="22"/>
        <w:szCs w:val="22"/>
      </w:rPr>
      <w:t>IO/22/CFE/10023847/MKI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12F4"/>
    <w:rsid w:val="00023B4F"/>
    <w:rsid w:val="00024F95"/>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0D50"/>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172B4"/>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4F3"/>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2AE2"/>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36B4"/>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C6BAA"/>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C65C5-9A4E-426C-8F90-B4743A95EE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D58873C-9777-4899-A274-CF0E48035B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5E27D1-72C2-42D3-B63C-9A71D671405E}">
  <ds:schemaRefs>
    <ds:schemaRef ds:uri="http://schemas.microsoft.com/sharepoint/v3/contenttype/forms"/>
  </ds:schemaRefs>
</ds:datastoreItem>
</file>

<file path=customXml/itemProps4.xml><?xml version="1.0" encoding="utf-8"?>
<ds:datastoreItem xmlns:ds="http://schemas.openxmlformats.org/officeDocument/2006/customXml" ds:itemID="{6D9D8897-7876-45B6-961A-29D837079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14</TotalTime>
  <Pages>6</Pages>
  <Words>863</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Kadiri Mohamed Yacine  EXT</cp:lastModifiedBy>
  <cp:revision>18</cp:revision>
  <cp:lastPrinted>2020-03-12T08:31:00Z</cp:lastPrinted>
  <dcterms:created xsi:type="dcterms:W3CDTF">2020-11-06T16:00:00Z</dcterms:created>
  <dcterms:modified xsi:type="dcterms:W3CDTF">2022-06-09T12:00:00Z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